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61" w:rsidRPr="007D7A61" w:rsidRDefault="007D7A61" w:rsidP="007D7A61">
      <w:pPr>
        <w:pBdr>
          <w:bottom w:val="single" w:sz="6" w:space="6" w:color="D10A11"/>
        </w:pBdr>
        <w:shd w:val="clear" w:color="auto" w:fill="FFFFFF"/>
        <w:spacing w:before="180" w:after="180" w:line="360" w:lineRule="atLeast"/>
        <w:jc w:val="center"/>
        <w:outlineLvl w:val="1"/>
        <w:rPr>
          <w:rFonts w:eastAsia="Times New Roman" w:cstheme="minorHAnsi"/>
          <w:b/>
          <w:bCs/>
          <w:i/>
          <w:iCs/>
          <w:color w:val="333333"/>
          <w:sz w:val="40"/>
          <w:szCs w:val="40"/>
          <w:u w:val="single"/>
          <w:lang w:eastAsia="cs-CZ"/>
        </w:rPr>
      </w:pPr>
      <w:r w:rsidRPr="007D7A61">
        <w:rPr>
          <w:rFonts w:eastAsia="Times New Roman" w:cstheme="minorHAnsi"/>
          <w:b/>
          <w:bCs/>
          <w:i/>
          <w:iCs/>
          <w:color w:val="333333"/>
          <w:sz w:val="40"/>
          <w:szCs w:val="40"/>
          <w:lang w:eastAsia="cs-CZ"/>
        </w:rPr>
        <w:t>Přehled předpisů, podle nichž obecní úřad ve věci poskytování informací rozhoduje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106/1999 Sb., o svobodném přístupu k informacím, v platném znění</w:t>
      </w: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br/>
        <w:t>(upravuje postavení oprávněného a povinného subjektu při vyřizování žádostí o poskytnutí informací, postup při rozhodování a poskytnutí informací a oprávnění žadatele v případě odmítnutí informací).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167/2012 Sb., kterým se mění zákon č. 499/2004 Sb., o archivnictví a spisové službě a o změně některých zákonů, ve znění pozdějších předpisů, zákon č. 227/2000 Sb., o elektronickém podpisu a o změně některých dalších zákonů (zákon o elektronickém podpisu), ve znění pozdějších předpisů, a další související zákony</w:t>
      </w: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br/>
        <w:t>(Tento zákon upravuje používání elektronického podpisu, poskytování souvisejících služeb, kontrolu povinností stanovených tímto zákonem a sankce za porušení povinností stanovených tímto zákonem).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500/2004 Sb., Správní řád, v platném znění</w:t>
      </w: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br/>
        <w:t>(upravuje postup orgánů moci výkonné, orgánů územních samosprávných celků a jiných orgánů, právnických a fyzických osob, pokud vykonávají působnost v oblasti veřejné správy).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128/2000 Sb. o obcích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133/2000 Sb. o evidenci obyvatel a rodných číslech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565/1990 Sb. o místních poplatcích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200/1990 Sb. o přestupcích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zákon č. 183/2006 Sb. o územním plánování a stavebním řádu (stavební zákon)</w:t>
      </w:r>
    </w:p>
    <w:p w:rsidR="007D7A61" w:rsidRPr="007D7A61" w:rsidRDefault="007D7A61" w:rsidP="007D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color w:val="333333"/>
          <w:sz w:val="32"/>
          <w:szCs w:val="32"/>
          <w:lang w:eastAsia="cs-CZ"/>
        </w:rPr>
      </w:pPr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>Platné obecně závazné vyhlášky</w:t>
      </w:r>
    </w:p>
    <w:p w:rsidR="007D7A61" w:rsidRPr="007D7A61" w:rsidRDefault="007D7A61" w:rsidP="007D7A61">
      <w:pPr>
        <w:shd w:val="clear" w:color="auto" w:fill="FFFFFF"/>
        <w:spacing w:before="100" w:beforeAutospacing="1" w:after="100" w:afterAutospacing="1" w:line="270" w:lineRule="atLeast"/>
        <w:ind w:left="15"/>
        <w:rPr>
          <w:rFonts w:eastAsia="Times New Roman" w:cstheme="minorHAnsi"/>
          <w:color w:val="333333"/>
          <w:sz w:val="32"/>
          <w:szCs w:val="32"/>
          <w:lang w:eastAsia="cs-CZ"/>
        </w:rPr>
      </w:pPr>
      <w:bookmarkStart w:id="0" w:name="_GoBack"/>
      <w:bookmarkEnd w:id="0"/>
      <w:r w:rsidRPr="007D7A61">
        <w:rPr>
          <w:rFonts w:eastAsia="Times New Roman" w:cstheme="minorHAnsi"/>
          <w:color w:val="333333"/>
          <w:sz w:val="32"/>
          <w:szCs w:val="32"/>
          <w:lang w:eastAsia="cs-CZ"/>
        </w:rPr>
        <w:t xml:space="preserve"> </w:t>
      </w:r>
    </w:p>
    <w:p w:rsidR="008700B8" w:rsidRDefault="008700B8"/>
    <w:sectPr w:rsidR="0087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73D"/>
    <w:multiLevelType w:val="multilevel"/>
    <w:tmpl w:val="41A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1"/>
    <w:rsid w:val="00221143"/>
    <w:rsid w:val="007D7A61"/>
    <w:rsid w:val="008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360"/>
  <w15:chartTrackingRefBased/>
  <w15:docId w15:val="{CCCA3A1F-2714-48BD-B05F-9D1E9394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7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7A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2019-12-20T06:59:00Z</dcterms:created>
  <dcterms:modified xsi:type="dcterms:W3CDTF">2019-12-20T07:09:00Z</dcterms:modified>
</cp:coreProperties>
</file>